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8E2" w:rsidRDefault="004608E2" w:rsidP="004608E2">
      <w:pPr>
        <w:rPr>
          <w:rFonts w:hint="eastAsia"/>
        </w:rPr>
      </w:pPr>
    </w:p>
    <w:p w:rsidR="004608E2" w:rsidRPr="004608E2" w:rsidRDefault="004608E2" w:rsidP="004608E2">
      <w:pPr>
        <w:jc w:val="center"/>
        <w:rPr>
          <w:rFonts w:ascii="黑体" w:eastAsia="黑体" w:hAnsi="黑体" w:hint="eastAsia"/>
          <w:sz w:val="44"/>
          <w:szCs w:val="44"/>
        </w:rPr>
      </w:pPr>
      <w:r w:rsidRPr="004608E2">
        <w:rPr>
          <w:rFonts w:ascii="黑体" w:eastAsia="黑体" w:hAnsi="黑体" w:hint="eastAsia"/>
          <w:sz w:val="44"/>
          <w:szCs w:val="44"/>
        </w:rPr>
        <w:t>关于办理信息网络犯罪案件适用刑事诉讼程序若干问题的意见</w:t>
      </w:r>
    </w:p>
    <w:p w:rsidR="004608E2" w:rsidRPr="004608E2" w:rsidRDefault="004608E2" w:rsidP="004608E2">
      <w:pPr>
        <w:rPr>
          <w:rFonts w:ascii="仿宋_GB2312" w:eastAsia="仿宋_GB2312" w:hint="eastAsia"/>
          <w:sz w:val="30"/>
          <w:szCs w:val="30"/>
        </w:rPr>
      </w:pPr>
    </w:p>
    <w:p w:rsidR="004608E2" w:rsidRPr="004608E2" w:rsidRDefault="004608E2" w:rsidP="004608E2">
      <w:pPr>
        <w:jc w:val="center"/>
        <w:rPr>
          <w:rFonts w:ascii="仿宋_GB2312" w:eastAsia="仿宋_GB2312" w:hint="eastAsia"/>
          <w:sz w:val="30"/>
          <w:szCs w:val="30"/>
        </w:rPr>
      </w:pPr>
      <w:r w:rsidRPr="004608E2">
        <w:rPr>
          <w:rFonts w:ascii="仿宋_GB2312" w:eastAsia="仿宋_GB2312" w:hint="eastAsia"/>
          <w:sz w:val="30"/>
          <w:szCs w:val="30"/>
        </w:rPr>
        <w:t>法发〔2022〕23号</w:t>
      </w:r>
    </w:p>
    <w:p w:rsidR="004608E2" w:rsidRPr="004608E2" w:rsidRDefault="004608E2" w:rsidP="004608E2">
      <w:pPr>
        <w:jc w:val="center"/>
        <w:rPr>
          <w:rFonts w:ascii="仿宋_GB2312" w:eastAsia="仿宋_GB2312" w:hint="eastAsia"/>
          <w:sz w:val="30"/>
          <w:szCs w:val="30"/>
        </w:rPr>
      </w:pPr>
      <w:r w:rsidRPr="004608E2">
        <w:rPr>
          <w:rFonts w:ascii="仿宋_GB2312" w:eastAsia="仿宋_GB2312" w:hint="eastAsia"/>
          <w:sz w:val="30"/>
          <w:szCs w:val="30"/>
        </w:rPr>
        <w:t>最高人民法院 最高人民检察院 公安部</w:t>
      </w:r>
    </w:p>
    <w:p w:rsidR="004608E2" w:rsidRPr="004608E2" w:rsidRDefault="004608E2" w:rsidP="004608E2">
      <w:pPr>
        <w:jc w:val="center"/>
        <w:rPr>
          <w:rFonts w:ascii="仿宋_GB2312" w:eastAsia="仿宋_GB2312" w:hint="eastAsia"/>
          <w:sz w:val="30"/>
          <w:szCs w:val="30"/>
        </w:rPr>
      </w:pPr>
      <w:r w:rsidRPr="004608E2">
        <w:rPr>
          <w:rFonts w:ascii="仿宋_GB2312" w:eastAsia="仿宋_GB2312" w:hint="eastAsia"/>
          <w:sz w:val="30"/>
          <w:szCs w:val="30"/>
        </w:rPr>
        <w:t>关于办理信息网络犯罪案件适用刑事诉讼程序</w:t>
      </w:r>
    </w:p>
    <w:p w:rsidR="004608E2" w:rsidRDefault="004608E2" w:rsidP="004608E2">
      <w:pPr>
        <w:jc w:val="center"/>
        <w:rPr>
          <w:rFonts w:ascii="仿宋_GB2312" w:eastAsia="仿宋_GB2312" w:hint="eastAsia"/>
          <w:sz w:val="30"/>
          <w:szCs w:val="30"/>
        </w:rPr>
      </w:pPr>
      <w:r w:rsidRPr="004608E2">
        <w:rPr>
          <w:rFonts w:ascii="仿宋_GB2312" w:eastAsia="仿宋_GB2312" w:hint="eastAsia"/>
          <w:sz w:val="30"/>
          <w:szCs w:val="30"/>
        </w:rPr>
        <w:t>若干问题的意见</w:t>
      </w:r>
    </w:p>
    <w:p w:rsidR="004608E2" w:rsidRPr="004608E2" w:rsidRDefault="004608E2" w:rsidP="004608E2">
      <w:pPr>
        <w:jc w:val="center"/>
        <w:rPr>
          <w:rFonts w:ascii="仿宋_GB2312" w:eastAsia="仿宋_GB2312" w:hint="eastAsia"/>
          <w:sz w:val="30"/>
          <w:szCs w:val="30"/>
        </w:rPr>
      </w:pP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为依法惩治信息网络犯罪活动，根据《中华人民共和国刑法》《中华人民共和国刑事诉讼法》以及有关法律、司法解释的规定，结合侦查、起诉、审判实践，现就办理此类案件适用刑事诉讼程序问题提出以下意见。</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一、关于信息网络犯罪案件的范围</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1.本意见所称信息网络犯罪案件包括：</w:t>
      </w:r>
    </w:p>
    <w:p w:rsidR="004608E2" w:rsidRPr="004608E2" w:rsidRDefault="004608E2" w:rsidP="004608E2">
      <w:pPr>
        <w:rPr>
          <w:rFonts w:ascii="仿宋_GB2312" w:eastAsia="仿宋_GB2312" w:hint="eastAsia"/>
          <w:sz w:val="30"/>
          <w:szCs w:val="30"/>
        </w:rPr>
      </w:pPr>
      <w:r w:rsidRPr="004608E2">
        <w:rPr>
          <w:rFonts w:ascii="仿宋_GB2312" w:eastAsia="仿宋_GB2312" w:hint="eastAsia"/>
          <w:sz w:val="30"/>
          <w:szCs w:val="30"/>
        </w:rPr>
        <w:t>（1）危害计算机信息系统安全犯罪案件；</w:t>
      </w:r>
    </w:p>
    <w:p w:rsidR="004608E2" w:rsidRPr="004608E2" w:rsidRDefault="004608E2" w:rsidP="004608E2">
      <w:pPr>
        <w:rPr>
          <w:rFonts w:ascii="仿宋_GB2312" w:eastAsia="仿宋_GB2312" w:hint="eastAsia"/>
          <w:sz w:val="30"/>
          <w:szCs w:val="30"/>
        </w:rPr>
      </w:pPr>
      <w:r w:rsidRPr="004608E2">
        <w:rPr>
          <w:rFonts w:ascii="仿宋_GB2312" w:eastAsia="仿宋_GB2312" w:hint="eastAsia"/>
          <w:sz w:val="30"/>
          <w:szCs w:val="30"/>
        </w:rPr>
        <w:t>（2）拒不履行信息网络安全管理义务、非法利用信息网络、帮助信息网络犯罪活动的犯罪案件；</w:t>
      </w:r>
    </w:p>
    <w:p w:rsidR="004608E2" w:rsidRPr="004608E2" w:rsidRDefault="004608E2" w:rsidP="004608E2">
      <w:pPr>
        <w:rPr>
          <w:rFonts w:ascii="仿宋_GB2312" w:eastAsia="仿宋_GB2312" w:hint="eastAsia"/>
          <w:sz w:val="30"/>
          <w:szCs w:val="30"/>
        </w:rPr>
      </w:pPr>
      <w:r w:rsidRPr="004608E2">
        <w:rPr>
          <w:rFonts w:ascii="仿宋_GB2312" w:eastAsia="仿宋_GB2312" w:hint="eastAsia"/>
          <w:sz w:val="30"/>
          <w:szCs w:val="30"/>
        </w:rPr>
        <w:t>（3）主要行为通过信息网络实施的诈骗、赌博、侵犯公民个人信息等其他犯罪案件。</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二、关于信息网络犯罪案件的管辖</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2.信息网络犯罪案件由犯罪地公安机关立案侦查。必要时，可以由犯罪嫌疑人居住地公安机关立案侦查。</w:t>
      </w:r>
    </w:p>
    <w:p w:rsidR="004608E2" w:rsidRPr="004608E2" w:rsidRDefault="004608E2" w:rsidP="004608E2">
      <w:pPr>
        <w:rPr>
          <w:rFonts w:ascii="仿宋_GB2312" w:eastAsia="仿宋_GB2312" w:hint="eastAsia"/>
          <w:sz w:val="30"/>
          <w:szCs w:val="30"/>
        </w:rPr>
      </w:pPr>
    </w:p>
    <w:p w:rsidR="004608E2" w:rsidRPr="004608E2" w:rsidRDefault="004608E2" w:rsidP="004608E2">
      <w:pPr>
        <w:rPr>
          <w:rFonts w:ascii="仿宋_GB2312" w:eastAsia="仿宋_GB2312" w:hint="eastAsia"/>
          <w:sz w:val="30"/>
          <w:szCs w:val="30"/>
        </w:rPr>
      </w:pPr>
      <w:r w:rsidRPr="004608E2">
        <w:rPr>
          <w:rFonts w:ascii="仿宋_GB2312" w:eastAsia="仿宋_GB2312" w:hint="eastAsia"/>
          <w:sz w:val="30"/>
          <w:szCs w:val="30"/>
        </w:rPr>
        <w:t>信息网络犯罪案件的犯罪地包括用于实施犯罪行为的网络服务使用的服务器所在地，网络服务提供者所在地，被侵害的信息网络系统及其管理者所在地，犯罪过程中犯罪嫌疑人、被害人或者其他涉案人员使用的信息网络系统所在地，被害人被侵害时所在地以及被害人财产遭受损失地等。</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涉及多个环节的信息网络犯罪案件，犯罪嫌疑人为信息网络犯罪提供帮助的，其犯罪地、居住地或者被帮助对象的犯罪地公安机关可以立案侦查。</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3.有多个犯罪地的信息网络犯罪案件，由最初受理的公安机关或者主要犯罪地公安机关立案侦查。有争议的，按照有利于查清犯罪事实、有利于诉讼的原则，协商解决；经协商无法达成一致的，由共同上级公安机关指定有关公安机关立案侦查。需要提请批准逮捕、移送审查起诉、提起公诉的，由立案侦查的公安机关所在地的人民检察院、人民法院受理。</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4.具有下列情形之一的，公安机关、人民检察院、人民法院可以在其职责范围内并案处理：</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（1）一人犯数罪的；</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（2）共同犯罪的；</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（3）共同犯罪的犯罪嫌疑人、被告人还实施其他犯罪的；</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（4）多个犯罪嫌疑人、被告人实施的犯罪行为存在关联，并案处理有利于查明全部案件事实的。</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lastRenderedPageBreak/>
        <w:t>对为信息网络犯罪提供程序开发、互联网接入、服务器托管、网络存储、通讯传输等技术支持，或者广告推广、支付结算等帮助，涉嫌犯罪的，可以依照第一款的规定并案侦查。</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有关公安机关依照前两款规定并案侦查的案件，需要提请批准逮捕、移送审查起诉、提起公诉的，由该公安机关所在地的人民检察院、人民法院受理。</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5.并案侦查的共同犯罪或者关联犯罪案件，犯罪嫌疑人人数众多、案情复杂的，公安机关可以分案移送审查起诉。分案移送审查起诉的，应当对并案侦查的依据、分案移送审查起诉的理由作出说明。</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对于前款规定的案件，人民检察院可以分案提起公诉，人民法院可以分案审理。</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分案处理应当以有利于保障诉讼质量和效率为前提，并不得影响当事人质证权等诉讼权利的行使。</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6.依照前条规定分案处理，公安机关、人民检察院、人民法院在分案前有管辖权的，分案后对相关案件的管辖权不受影响。根据具体情况，分案处理的相关案件可以由不同审级的人民法院分别审理。</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7.对于共同犯罪或者已并案侦查的关联犯罪案件，部分犯罪嫌疑人未到案，但不影响对已到案共同犯罪或者关联犯罪的犯罪嫌疑人、被告人的犯罪事实认定的，可以先行追究已到案犯罪嫌疑人、被告人的刑事责任。之前未到案的犯罪嫌疑人、被告人归</w:t>
      </w:r>
      <w:r w:rsidRPr="004608E2">
        <w:rPr>
          <w:rFonts w:ascii="仿宋_GB2312" w:eastAsia="仿宋_GB2312" w:hint="eastAsia"/>
          <w:sz w:val="30"/>
          <w:szCs w:val="30"/>
        </w:rPr>
        <w:lastRenderedPageBreak/>
        <w:t>案后，可以由原办案机关所在地公安机关、人民检察院、人民法院管辖其所涉及的案件。</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8.对于具有特殊情况，跨省（自治区、直辖市）指定异地公安机关侦查更有利于查清犯罪事实、保证案件公正处理的重大信息网络犯罪案件，以及在境外实施的信息网络犯罪案件，公安部可以商最高人民检察院和最高人民法院指定侦查管辖。</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9.人民检察院对于审查起诉的案件，按照刑事诉讼法的管辖规定，认为应当由上级人民检察院或者同级其他人民检察院起诉的，应当将案件移送有管辖权的人民检察院，并通知移送起诉的公安机关。人民检察院认为需要依照刑事诉讼法的规定指定审判管辖的，应当协商同级人民法院办理指定管辖有关事宜。</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10.犯罪嫌疑人被多个公安机关立案侦查的，有关公安机关一般应当协商并案处理，并依法移送案件。协商不成的，可以报请共同上级公安机关指定管辖。</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人民检察院对于审查起诉的案件，发现犯罪嫌疑人还有犯罪被异地公安机关立案侦查的，应当通知移送审查起诉的公安机关。</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人民法院对于提起公诉的案件，发现被告人还有其他犯罪被审查起诉、立案侦查的，可以协商人民检察院、公安机关并案处理，但可能造成审判过分迟延的除外。决定对有关犯罪并案处理，符合《中华人民共和国刑事诉讼法》第二百零四条规定的，人民检察院可以建议人民法院延期审理。</w:t>
      </w:r>
    </w:p>
    <w:p w:rsidR="004608E2" w:rsidRPr="004608E2" w:rsidRDefault="004608E2" w:rsidP="004608E2">
      <w:pPr>
        <w:rPr>
          <w:rFonts w:ascii="仿宋_GB2312" w:eastAsia="仿宋_GB2312" w:hint="eastAsia"/>
          <w:sz w:val="30"/>
          <w:szCs w:val="30"/>
        </w:rPr>
      </w:pP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lastRenderedPageBreak/>
        <w:t>三、关于信息网络犯罪案件的调查核实</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11.公安机关对接受的案件或者发现的犯罪线索，在审查中发现案件事实或者线索不明，需要经过调查才能够确认是否达到刑事立案标准的，经公安机关办案部门负责人批准，可以进行调查核实；经过调查核实达到刑事立案标准的，应当及时立案。</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12.调查核实过程中，可以采取询问、查询、勘验、检查、鉴定、调取证据材料等不限制被调查对象人身、财产权利的措施，不得对被调查对象采取强制措施，不得查封、扣押、冻结被调查对象的财产，不得采取技术侦查措施。</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13.公安机关在调查核实过程中依法收集的电子数据等材料，可以根据有关规定作为证据使用。</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调查核实过程中收集的材料作为证据使用的，应当随案移送，并附批准调查核实的相关材料。</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调查核实过程中收集的证据材料经查证属实，且收集程序符合有关要求的，可以作为定案依据。</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四、关于信息网络犯罪案件的取证</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14.公安机关向网络服务提供者调取电子数据的，应当制作调取证据通知书，注明需要调取的电子数据的相关信息。调取证据通知书及相关法律文书可以采用数据电文形式。跨地域调取电子数据的，可以通过公安机关信息化系统传输相关数据电文。</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网络服务提供者向公安机关提供电子数据的，可以采用数据电文形式。采用数据电文形式提供电子数据的，应当保证电子数</w:t>
      </w:r>
      <w:r w:rsidRPr="004608E2">
        <w:rPr>
          <w:rFonts w:ascii="仿宋_GB2312" w:eastAsia="仿宋_GB2312" w:hint="eastAsia"/>
          <w:sz w:val="30"/>
          <w:szCs w:val="30"/>
        </w:rPr>
        <w:lastRenderedPageBreak/>
        <w:t>据的完整性，并制作电子证明文件，载明调证法律文书编号、单位电子公章、完整性校验值等保护电子数据完整性方法的说明等信息。</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数据电文形式的法律文书和电子证明文件，应当使用电子签名、数字水印等方式保证完整性。</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15.询（讯）问异地证人、被害人以及与案件有关联的犯罪嫌疑人的，可以由办案地公安机关通过远程网络视频等方式进行并制作笔录。</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远程询（讯）问的，应当由协作地公安机关事先核实被询（讯）问人的身份。办案地公安机关应当将询（讯）问笔录传输至协作地公安机关。询（讯）问笔录经被询（讯）问人确认并逐页签名、捺指印后，由协作地公安机关协作人员签名或者盖章，并将原件提供给办案地公安机关。询（讯）问人员收到笔录后，应当在首页右上方写明“于某年某月某日收到”，并签名或者盖章。</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远程询（讯）问的，应当对询（讯）问过程同步录音录像，并随案移送。</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异地证人、被害人以及与案件有关联的犯罪嫌疑人亲笔书写证词、供词的，参照执行本条第二款规定。</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16.人民检察院依法自行侦查、补充侦查，或者人民法院调查核实相关证据的，适用本意见第14条、第15条的有关规定。</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17.对于依照本意见第14条的规定调取的电子数据，人民检察院、人民法院可以通过核验电子签名、数字水印、电子数据完</w:t>
      </w:r>
      <w:r w:rsidRPr="004608E2">
        <w:rPr>
          <w:rFonts w:ascii="仿宋_GB2312" w:eastAsia="仿宋_GB2312" w:hint="eastAsia"/>
          <w:sz w:val="30"/>
          <w:szCs w:val="30"/>
        </w:rPr>
        <w:lastRenderedPageBreak/>
        <w:t>整性校验值及调证法律文书编号是否与证明文件相一致等方式，对电子数据进行审查判断。</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对调取的电子数据有疑问的，由公安机关、提供电子数据的网络服务提供者作出说明，或者由原调取机关补充收集相关证据。</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五、关于信息网络犯罪案件的其他问题</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18.采取技术侦查措施收集的材料作为证据使用的，应当随案移送，并附采取技术侦查措施的法律文书、证据材料清单和有关说明材料。</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移送采取技术侦查措施收集的视听资料、电子数据的，应当由两名以上侦查人员制作复制件，并附制作说明，写明原始证据材料、原始存储介质的存放地点等信息，由制作人签名，并加盖单位印章。</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19.采取技术侦查措施收集的证据材料，应当经过当庭出示、辨认、质证等法庭调查程序查证。</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当庭调查技术侦查证据材料可能危及有关人员的人身安全，或者可能产生其他严重后果的，法庭应当采取不暴露有关人员身份和技术侦查措施使用的技术设备、技术方法等保护措施。必要时，审判人员可以在庭外对证据进行核实。</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20.办理信息网络犯罪案件，对于数量特别众多且具有同类性质、特征或者功能的物证、书证、证人证言、被害人陈述、视听资料、电子数据等证据材料，确因客观条件限制无法逐一收集的，应当按照一定比例或者数量选取证据，并对选取情况作出说</w:t>
      </w:r>
      <w:r w:rsidRPr="004608E2">
        <w:rPr>
          <w:rFonts w:ascii="仿宋_GB2312" w:eastAsia="仿宋_GB2312" w:hint="eastAsia"/>
          <w:sz w:val="30"/>
          <w:szCs w:val="30"/>
        </w:rPr>
        <w:lastRenderedPageBreak/>
        <w:t>明和论证。</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人民检察院、人民法院应当重点审查取证方法、过程是否科学。经审查认为取证不科学的，应当由原取证机关作出补充说明或者重新取证。</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人民检察院、人民法院应当结合其他证据材料，以及犯罪嫌疑人、被告人及其辩护人所提辩解、辩护意见，审查认定取得的证据。经审查，对相关事实不能排除合理怀疑的，应当作出有利于犯罪嫌疑人、被告人的认定。</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21.对于涉案人数特别众多的信息网络犯罪案件，确因客观条件限制无法收集证据逐一证明、逐人核实涉案账户的资金来源，但根据银行账户、非银行支付账户等交易记录和其他证据材料，足以认定有关账户主要用于接收、流转涉案资金的，可以按照该账户接收的资金数额认定犯罪数额，但犯罪嫌疑人、被告人能够作出合理说明的除外。案外人提出异议的，应当依法审查。</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22.办理信息网络犯罪案件,应当依法及时查封、扣押、冻结涉案财物，督促涉案人员退赃退赔，及时追赃挽损。</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公安机关应当全面收集证明涉案财物性质、权属情况、依法应予追缴、没收或者责令退赔的证据材料，在移送审查起诉时随案移送并作出说明。其中，涉案财物需要返还被害人的，应当尽可能查明被害人损失情况。人民检察院应当对涉案财物的证据材料进行审查，在提起公诉时提出处理意见。人民法院应当依法作出判决，对涉案财物作出处理。</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lastRenderedPageBreak/>
        <w:t>对应当返还被害人的合法财产，权属明确的，应当依法及时返还；权属不明的，应当在人民法院判决、裁定生效后，按比例返还被害人，但已获退赔的部分应予扣除。</w:t>
      </w:r>
    </w:p>
    <w:p w:rsidR="004608E2" w:rsidRPr="004608E2" w:rsidRDefault="004608E2" w:rsidP="004608E2">
      <w:pPr>
        <w:ind w:firstLineChars="200" w:firstLine="600"/>
        <w:rPr>
          <w:rFonts w:ascii="仿宋_GB2312" w:eastAsia="仿宋_GB2312" w:hint="eastAsia"/>
          <w:sz w:val="30"/>
          <w:szCs w:val="30"/>
        </w:rPr>
      </w:pPr>
      <w:r w:rsidRPr="004608E2">
        <w:rPr>
          <w:rFonts w:ascii="仿宋_GB2312" w:eastAsia="仿宋_GB2312" w:hint="eastAsia"/>
          <w:sz w:val="30"/>
          <w:szCs w:val="30"/>
        </w:rPr>
        <w:t>23.本意见自2022年9月1日起施行。《最高人民法院、最高人民检察院、公安部关于办理网络犯罪案件适用刑事诉讼程序若干问题的意见》（公通字〔2014〕10号）同时废止。</w:t>
      </w:r>
    </w:p>
    <w:p w:rsidR="004608E2" w:rsidRDefault="004608E2" w:rsidP="004608E2">
      <w:pPr>
        <w:jc w:val="right"/>
        <w:rPr>
          <w:rFonts w:ascii="仿宋_GB2312" w:eastAsia="仿宋_GB2312" w:hint="eastAsia"/>
          <w:sz w:val="30"/>
          <w:szCs w:val="30"/>
        </w:rPr>
      </w:pPr>
    </w:p>
    <w:p w:rsidR="004608E2" w:rsidRPr="004608E2" w:rsidRDefault="004608E2" w:rsidP="004608E2">
      <w:pPr>
        <w:jc w:val="right"/>
        <w:rPr>
          <w:rFonts w:ascii="仿宋_GB2312" w:eastAsia="仿宋_GB2312" w:hint="eastAsia"/>
          <w:sz w:val="30"/>
          <w:szCs w:val="30"/>
        </w:rPr>
      </w:pPr>
      <w:r w:rsidRPr="004608E2">
        <w:rPr>
          <w:rFonts w:ascii="仿宋_GB2312" w:eastAsia="仿宋_GB2312" w:hint="eastAsia"/>
          <w:sz w:val="30"/>
          <w:szCs w:val="30"/>
        </w:rPr>
        <w:t>最高人民法院 最高人民检察院 公安部</w:t>
      </w:r>
    </w:p>
    <w:p w:rsidR="004608E2" w:rsidRPr="004608E2" w:rsidRDefault="004608E2" w:rsidP="004608E2">
      <w:pPr>
        <w:jc w:val="right"/>
        <w:rPr>
          <w:rFonts w:ascii="仿宋_GB2312" w:eastAsia="仿宋_GB2312" w:hint="eastAsia"/>
          <w:sz w:val="30"/>
          <w:szCs w:val="30"/>
        </w:rPr>
      </w:pPr>
    </w:p>
    <w:p w:rsidR="00B368FF" w:rsidRPr="004608E2" w:rsidRDefault="004608E2" w:rsidP="004608E2">
      <w:pPr>
        <w:jc w:val="right"/>
        <w:rPr>
          <w:rFonts w:ascii="仿宋_GB2312" w:eastAsia="仿宋_GB2312" w:hint="eastAsia"/>
          <w:sz w:val="30"/>
          <w:szCs w:val="30"/>
        </w:rPr>
      </w:pPr>
      <w:r w:rsidRPr="004608E2">
        <w:rPr>
          <w:rFonts w:ascii="仿宋_GB2312" w:eastAsia="仿宋_GB2312" w:hint="eastAsia"/>
          <w:sz w:val="30"/>
          <w:szCs w:val="30"/>
        </w:rPr>
        <w:t>2022年8月26日</w:t>
      </w:r>
    </w:p>
    <w:sectPr w:rsidR="00B368FF" w:rsidRPr="004608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8FF" w:rsidRDefault="00B368FF" w:rsidP="004608E2">
      <w:r>
        <w:separator/>
      </w:r>
    </w:p>
  </w:endnote>
  <w:endnote w:type="continuationSeparator" w:id="1">
    <w:p w:rsidR="00B368FF" w:rsidRDefault="00B368FF" w:rsidP="004608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8FF" w:rsidRDefault="00B368FF" w:rsidP="004608E2">
      <w:r>
        <w:separator/>
      </w:r>
    </w:p>
  </w:footnote>
  <w:footnote w:type="continuationSeparator" w:id="1">
    <w:p w:rsidR="00B368FF" w:rsidRDefault="00B368FF" w:rsidP="004608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08E2"/>
    <w:rsid w:val="004608E2"/>
    <w:rsid w:val="00B368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08E2"/>
    <w:rPr>
      <w:sz w:val="18"/>
      <w:szCs w:val="18"/>
    </w:rPr>
  </w:style>
  <w:style w:type="paragraph" w:styleId="a4">
    <w:name w:val="footer"/>
    <w:basedOn w:val="a"/>
    <w:link w:val="Char0"/>
    <w:uiPriority w:val="99"/>
    <w:semiHidden/>
    <w:unhideWhenUsed/>
    <w:rsid w:val="004608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08E2"/>
    <w:rPr>
      <w:sz w:val="18"/>
      <w:szCs w:val="18"/>
    </w:rPr>
  </w:style>
</w:styles>
</file>

<file path=word/webSettings.xml><?xml version="1.0" encoding="utf-8"?>
<w:webSettings xmlns:r="http://schemas.openxmlformats.org/officeDocument/2006/relationships" xmlns:w="http://schemas.openxmlformats.org/wordprocessingml/2006/main">
  <w:divs>
    <w:div w:id="11791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633</Words>
  <Characters>3610</Characters>
  <Application>Microsoft Office Word</Application>
  <DocSecurity>0</DocSecurity>
  <Lines>30</Lines>
  <Paragraphs>8</Paragraphs>
  <ScaleCrop>false</ScaleCrop>
  <Company>Microsoft</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2022-09-02T01:26:00Z</dcterms:created>
  <dcterms:modified xsi:type="dcterms:W3CDTF">2022-09-02T01:31:00Z</dcterms:modified>
</cp:coreProperties>
</file>