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4E" w:rsidRPr="0032674E" w:rsidRDefault="0032674E" w:rsidP="0032674E">
      <w:pPr>
        <w:jc w:val="center"/>
        <w:rPr>
          <w:rFonts w:ascii="黑体" w:eastAsia="黑体" w:hAnsi="黑体" w:hint="eastAsia"/>
          <w:sz w:val="32"/>
          <w:szCs w:val="32"/>
        </w:rPr>
      </w:pPr>
    </w:p>
    <w:p w:rsidR="0032674E" w:rsidRPr="0032674E" w:rsidRDefault="0032674E" w:rsidP="0032674E">
      <w:pPr>
        <w:jc w:val="center"/>
        <w:rPr>
          <w:rFonts w:ascii="黑体" w:eastAsia="黑体" w:hAnsi="黑体"/>
          <w:sz w:val="32"/>
          <w:szCs w:val="32"/>
        </w:rPr>
      </w:pPr>
      <w:r w:rsidRPr="0032674E">
        <w:rPr>
          <w:rFonts w:ascii="黑体" w:eastAsia="黑体" w:hAnsi="黑体" w:hint="eastAsia"/>
          <w:sz w:val="32"/>
          <w:szCs w:val="32"/>
        </w:rPr>
        <w:t>依法惩治信息网络犯罪 有效维护清朗网络空间</w:t>
      </w:r>
    </w:p>
    <w:p w:rsidR="00000000" w:rsidRPr="0032674E" w:rsidRDefault="0032674E" w:rsidP="0032674E">
      <w:pPr>
        <w:jc w:val="center"/>
        <w:rPr>
          <w:rFonts w:ascii="黑体" w:eastAsia="黑体" w:hAnsi="黑体" w:hint="eastAsia"/>
          <w:sz w:val="32"/>
          <w:szCs w:val="32"/>
        </w:rPr>
      </w:pPr>
      <w:r w:rsidRPr="0032674E">
        <w:rPr>
          <w:rFonts w:ascii="黑体" w:eastAsia="黑体" w:hAnsi="黑体" w:hint="eastAsia"/>
          <w:sz w:val="32"/>
          <w:szCs w:val="32"/>
        </w:rPr>
        <w:t>——最高人民法院研究室、最高人民检察院第四检察厅、公安部十一局负责人就《关于办理信息网络犯罪案件适用刑事诉讼程序若干问题的意见》答记者问</w:t>
      </w:r>
    </w:p>
    <w:p w:rsidR="0032674E" w:rsidRDefault="0032674E" w:rsidP="0032674E">
      <w:pPr>
        <w:rPr>
          <w:rFonts w:hint="eastAsia"/>
        </w:rPr>
      </w:pP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8月30日，最高人民法院、最高人民检察院、公安部联合发布《关于办理信息网络犯罪案件适用刑事诉讼程序若干问题的意见》（法发〔2022〕23号，以下简称《意见》）。为便于司法实践准确理解与适用，最高人民法院研究室、最高人民检察院第四检察厅、公安部十一局有关负责人接受了采访。</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问：请介绍一下《意见》的制定背景和主要经过。</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2014年5月，最高人民法院、最高人民检察院、公安部联合发布了《关于办理网络犯罪案件适用刑事诉讼程序若干问题的意见》（公通字〔2014〕10号，以下简称《2014年意见》），对网络犯罪案件的范围、管辖、初查、跨地域取证、电子数据的收集与审查及其他问题作了规定。《2014年意见》的发布施行，对于依法惩治网络犯罪，有效维护正常网络秩序和人民群众合法权益，发挥了重要作用。</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近年来，我国信息技术应用广泛，数字经济飞速发展，信息网络犯罪案件随之快速增长。《涉信息网络犯罪特点和趋势（2017.1-2021.12）司法大数据专题报告》显示，2017年至2021年，全国法院一审审结涉信息网络犯罪案件共计28.2万余件，</w:t>
      </w:r>
      <w:r w:rsidRPr="0032674E">
        <w:rPr>
          <w:rFonts w:ascii="仿宋_GB2312" w:eastAsia="仿宋_GB2312" w:hint="eastAsia"/>
          <w:sz w:val="30"/>
          <w:szCs w:val="30"/>
        </w:rPr>
        <w:lastRenderedPageBreak/>
        <w:t>共涉及66万余名被告人，且案件数量呈逐年上升趋势，2018年、2019年、2020年、2021年分别同比上升57.18%、28.43%、20.90%、104.56%。其中，诈骗案件数量占比高达36.53%，开设赌场案件占比为14.81%。为有效遏制信息网络犯罪的增长态势，进一步加大惩治力度，迫切需要进一步完善相关刑事案件办理的程序规则。</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信息技术的进步在提高应用便捷性的同时，也降低了信息网络犯罪的技术门槛，而随着相关犯罪手段不断翻新，信息网络犯罪的链条性、跨地域性、涉众性特征更加突显，犯罪形态愈加复杂，社会危害愈加严重，防范、查处难度进一步加大。例如，电信网络诈骗的受害人往往遍布全国，而行为链条上负责技术支持、引流、资金转移、提现等各环节的行为人可能分布多地，有的甚至在境外，大量的异地取证工作制约案件侦办效率；再如，网络赌博的涉案资金、账户、参赌人员众多，为逃避打击，资金流转过程往往十分复杂，犯罪数额的认定面临诸多实际困难。有鉴于此，信息网络犯罪案件的程序规则必须与时俱进，作出相应调整完善。</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针对信息网络犯罪的快速增长和不断翻新，最高人民法院、最高人民检察院、公安部在《2014年意见》的基础上，深入调查研究，广泛征求意见，反复论证完善，制定了《意见》，对信息网络犯罪案件的程序作出统一规定。《意见》自2022年9月1日起施行，《2014年意见》同时废止。</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lastRenderedPageBreak/>
        <w:t>问：请介绍一下《意见》制定的主要考虑。</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意见》坚持以习近平新时代中国特色社会主义思想为指导，深入贯彻习近平法治思想和习近平总书记关于网络强国的重要思想，深化信息网络犯罪治理工作，进一步规范信息网络犯罪案件的办理程序，为推进网络强国建设提供有力司法保障。具体而言，在起草过程中，着重把握了以下几点：</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一是贯彻新要求，深化犯罪治理。习近平总书记强调“网络犯罪已成为危害我国国家政治安全、网络安全、社会安全、经济安全等的重要风险之一”“没有网络安全就没有国家安全”。2020年12月，中共中央印发《法治社会建设实施纲要（2020－2025年）》，要求“推动社会治理从现实社会向网络空间覆盖，建立健全网络综合治理体系，加强依法管网、依法办网、依法上网，全面推进网络空间法治化，营造清朗的网络空间。”《意见》深入贯彻落实推进网络治理的新部署、新要求，进一步完善相关程序规则，依法惩治信息网络犯罪，为深化网络生态治理、推动网络文明建设提供有力司法保障。</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二是应对新形势，完善程序规则。当前，信息网络犯罪案件仍然持续高发，且犯罪的链条性、跨地域性、技术性等特点更加突显。《2014年意见》不能完全适应当前信息网络犯罪的新问题、新情况。鉴此，《意见》根据刑法、刑事诉讼法以及相关法律、司法解释的规定，结合实践反映的突出问题，对办理相关案件的程序规则作出进一步明确。</w:t>
      </w:r>
    </w:p>
    <w:p w:rsidR="0032674E" w:rsidRPr="0032674E" w:rsidRDefault="0032674E" w:rsidP="0032674E">
      <w:pPr>
        <w:rPr>
          <w:rFonts w:ascii="仿宋_GB2312" w:eastAsia="仿宋_GB2312" w:hint="eastAsia"/>
          <w:sz w:val="30"/>
          <w:szCs w:val="30"/>
        </w:rPr>
      </w:pP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三是吸收新经验，服务办案实践。规则来自实践，服务于实践。近年来，一线公检法机关根据实践情况，充分借助信息技术手段，在办理信息网络犯罪案件的过程中作了诸多有益探索，形成了一些有效的经验做法。《意见》吸收实践中较为成熟的经验做法，提炼为统一的司法规则，依法规范案件办理，有效服务一线实践。</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问：司法实践中，对信息网络犯罪案件，常常会出现管辖争议。请问《意见》对信息网络犯罪案件的管辖有何规范？</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答：信息网络犯罪具有匿名性、远程性、链条性、涉众性等特点，案件管辖问题较传统犯罪更为复杂。《意见》根据刑事诉讼法以及有关规定，立足当前信息网络犯罪的执法司法实践，进一步明确了管辖规则。</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一是对信息网络犯罪案件的犯罪地作了明确。针对信息网络犯罪往往是远程匿名实施的特点，为方便被害人报案，《意见》依法确定多个管辖连接点，规定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涉及多个环节的信息网络犯罪案件，犯罪嫌疑人为信息网络犯罪提供帮助的，其犯罪地、居住地或者被帮助对象的犯罪地公安机</w:t>
      </w:r>
      <w:r w:rsidRPr="0032674E">
        <w:rPr>
          <w:rFonts w:ascii="仿宋_GB2312" w:eastAsia="仿宋_GB2312" w:hint="eastAsia"/>
          <w:sz w:val="30"/>
          <w:szCs w:val="30"/>
        </w:rPr>
        <w:lastRenderedPageBreak/>
        <w:t>关可以立案侦查。</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二是对信息网络犯罪案件的并案规则作了明确。《意见》规定，具有下列情形之一的，公安机关、人民检察院、人民法院可以在其职责范围内并案处理：（1）一人犯数罪的；（2）共同犯罪的；（3）共同犯罪的犯罪嫌疑人、被告人还实施其他犯罪的；（4）多个犯罪嫌疑人、被告人实施的犯罪行为存在关联，并案处理有利于查明全部案件事实的。</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三是对信息网络犯罪案件的分案规则作了明确。《意见》规定，并案侦查的共同犯罪或者关联犯罪案件，犯罪嫌疑人人数众多、案情复杂的，公安机关可以分案移送审查起诉。分案移送审查起诉的，应当对并案侦查的依据、分案移送审查起诉的理由作出说明。对于相关案件未作分案处理的，人民检察院可以分案提起公诉，人民法院可以分案审理。公检法机关在分案前有管辖权的，分案后对相关案件的管辖权不受影响。上述分案处理，应当以有利于保障诉讼质量和效率为前提，并不得影响当事人质证权等诉讼权利的行使。</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问：信息网络犯罪往往跨地域实施，跨地域取证具有一定普遍性，而相关取证工作需要更多借助信息技术手段。请介绍一下《意见》对跨地域取证有何规定。</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答：信息网络犯罪相关银行账户、网络数据往往遍布各地，采用传统取证方式，耗时费力。为此，《意见》立足实践情况，对信息网络犯罪案件的取证问题作了规定。具体而言：</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lastRenderedPageBreak/>
        <w:t>一是明确跨地域调取电子数据的规则。办理信息网络犯罪案件，往往需要跨地域取证。针对异地调取电子数据成本高、安全性差的问题，公安部建成异地调证信息化系统，为兼顾异地调取电子数据的便利性和安全性创造了条件。基于此，《意见》明确跨地域调取电子数据的，可以通过公安机关信息化系统传输相关数据电文。同时，要求采用数据电文形式提供电子数据的，应当保证电子数据的完整性。</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二是明确异地询（讯）问的规则。《意见》规定，询（讯）问异地证人、被害人以及与案件有关联的犯罪嫌疑人的，可以由办案地公安机关通过远程网络视频等方式进行并制作笔录。远程询（讯）问的，应当由协作地公安机关事先核实被询（讯）问人的身份。询（讯）问笔录经被询（讯）问人确认并逐页签名、捺指印后，由协作地公安机关协作人员签名或者盖章，并将原件提供给办案地公安机关。远程询（讯）问的，应当对询（讯）问过程同步录音录像，并随案移送。</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问：针对信息网络犯罪案件海量证据的情况，《意见》新增按照一定比例或者数量取证的规定。请介绍一下相关规定和有关考虑。</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不少信息网络犯罪涉及海量证据材料，涉案人员也特别众多，无法逐一取证。例如，在非法控制计算机信息系统犯罪案件中，黑客通过网站“挂马”等方式可以在短时间内控制数百万台计算机，此种情形下，既无必要，客观上也不可能逐一核实每</w:t>
      </w:r>
      <w:r w:rsidRPr="0032674E">
        <w:rPr>
          <w:rFonts w:ascii="仿宋_GB2312" w:eastAsia="仿宋_GB2312" w:hint="eastAsia"/>
          <w:sz w:val="30"/>
          <w:szCs w:val="30"/>
        </w:rPr>
        <w:lastRenderedPageBreak/>
        <w:t>一台涉案计算机，从而认定被控制的计算机信息系统数量。基于此，《意见》对海量证据材料按照一定比例或者数量取证的规则作了专门规定。</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一是证据选取规则。办理信息网络犯罪案件，对于数量特别众多且具有同类性质、特征或者功能的物证、书证、证人证言、被害人陈述、视听资料、电子数据等证据材料，确因客观条件限制无法逐一收集的，应当按照一定比例或者数量选取证据，并对选取情况作出说明和论证。同时，为规范涉案财物处置，保护被害人利益，《意见》还规定，涉案财物需要返还被害人的，应当尽可能查明被害人损失情况。</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二是证据审查规则。人民检察院、人民法院应当重点审查取证方法、过程是否科学。经审查认为取证不科学的，应当由原取证机关作出补充说明或者重新取证。</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三是证据采信规则。人民检察院、人民法院应当结合其他证据材料，以及犯罪嫌疑人、被告人及其辩护人所提辩解、辩护意见，审查认定取得的证据。经审查，对相关事实不能排除合理怀疑的，应当作出有利于犯罪嫌疑人、被告人的认定。</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问：“徒法不足以自行。”《意见》发布后，“两高一部”对贯彻实施工作有何考虑？</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答：《意见》对于依法惩治信息网络犯罪，有效维护清朗网络空间，必将发挥重要作用。下一步，最高人民法院、最高人民检察院、公安部将指导地方各级人民法院、人民检察院、公安机</w:t>
      </w:r>
      <w:r w:rsidRPr="0032674E">
        <w:rPr>
          <w:rFonts w:ascii="仿宋_GB2312" w:eastAsia="仿宋_GB2312" w:hint="eastAsia"/>
          <w:sz w:val="30"/>
          <w:szCs w:val="30"/>
        </w:rPr>
        <w:lastRenderedPageBreak/>
        <w:t>关充分发挥职能作用，严格规范案件办理程序，依法惩治信息网络犯罪，不断加大对信息网络空间的刑事司法保护力度。</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一是严格依法办案。采取有力措施，指导地方办案机关严格执行刑法、刑事诉讼法和《意见》的有关规定，准确把握案件办理程序要求，切实加大惩治力度，依法办理电信网络诈骗、网络赌博、侵犯公民个人信息等相关案件，突出惩治重点，彰显严惩立场，回应社会关切。</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二是强化工作衔接。信息网络犯罪的手段翻新，要求刑事治理措施不断优化升级。就完善此类案件的办理程序而言，公安、检察、审判机关要在严格落实刑事诉讼法规定的前提下，畅通执法、司法衔接，强化工作合力，更好地适应依法惩治信息网络犯罪的实践需要，进一步规范案件管辖和证据收集、使用，确保案件办理取得良好效果。</w:t>
      </w:r>
    </w:p>
    <w:p w:rsidR="0032674E" w:rsidRPr="0032674E" w:rsidRDefault="0032674E" w:rsidP="0032674E">
      <w:pPr>
        <w:ind w:firstLineChars="200" w:firstLine="600"/>
        <w:rPr>
          <w:rFonts w:ascii="仿宋_GB2312" w:eastAsia="仿宋_GB2312" w:hint="eastAsia"/>
          <w:sz w:val="30"/>
          <w:szCs w:val="30"/>
        </w:rPr>
      </w:pPr>
      <w:r w:rsidRPr="0032674E">
        <w:rPr>
          <w:rFonts w:ascii="仿宋_GB2312" w:eastAsia="仿宋_GB2312" w:hint="eastAsia"/>
          <w:sz w:val="30"/>
          <w:szCs w:val="30"/>
        </w:rPr>
        <w:t>三是加强普法宣传。认真落实“谁执法谁普法”责任制，结合相关信息网络犯罪案件办理，引导广大群众自觉抵制信息网络犯罪，增强防范信息网络犯罪风险意识能力，共同维护清朗网络空间和自身合法权益。</w:t>
      </w:r>
    </w:p>
    <w:sectPr w:rsidR="0032674E" w:rsidRPr="00326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F0" w:rsidRDefault="006114F0" w:rsidP="0032674E">
      <w:r>
        <w:separator/>
      </w:r>
    </w:p>
  </w:endnote>
  <w:endnote w:type="continuationSeparator" w:id="1">
    <w:p w:rsidR="006114F0" w:rsidRDefault="006114F0" w:rsidP="00326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F0" w:rsidRDefault="006114F0" w:rsidP="0032674E">
      <w:r>
        <w:separator/>
      </w:r>
    </w:p>
  </w:footnote>
  <w:footnote w:type="continuationSeparator" w:id="1">
    <w:p w:rsidR="006114F0" w:rsidRDefault="006114F0" w:rsidP="00326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74E"/>
    <w:rsid w:val="0032674E"/>
    <w:rsid w:val="00611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74E"/>
    <w:rPr>
      <w:sz w:val="18"/>
      <w:szCs w:val="18"/>
    </w:rPr>
  </w:style>
  <w:style w:type="paragraph" w:styleId="a4">
    <w:name w:val="footer"/>
    <w:basedOn w:val="a"/>
    <w:link w:val="Char0"/>
    <w:uiPriority w:val="99"/>
    <w:semiHidden/>
    <w:unhideWhenUsed/>
    <w:rsid w:val="003267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74E"/>
    <w:rPr>
      <w:sz w:val="18"/>
      <w:szCs w:val="18"/>
    </w:rPr>
  </w:style>
</w:styles>
</file>

<file path=word/webSettings.xml><?xml version="1.0" encoding="utf-8"?>
<w:webSettings xmlns:r="http://schemas.openxmlformats.org/officeDocument/2006/relationships" xmlns:w="http://schemas.openxmlformats.org/wordprocessingml/2006/main">
  <w:divs>
    <w:div w:id="45032816">
      <w:bodyDiv w:val="1"/>
      <w:marLeft w:val="0"/>
      <w:marRight w:val="0"/>
      <w:marTop w:val="0"/>
      <w:marBottom w:val="0"/>
      <w:divBdr>
        <w:top w:val="none" w:sz="0" w:space="0" w:color="auto"/>
        <w:left w:val="none" w:sz="0" w:space="0" w:color="auto"/>
        <w:bottom w:val="none" w:sz="0" w:space="0" w:color="auto"/>
        <w:right w:val="none" w:sz="0" w:space="0" w:color="auto"/>
      </w:divBdr>
    </w:div>
    <w:div w:id="6753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645</Words>
  <Characters>3677</Characters>
  <Application>Microsoft Office Word</Application>
  <DocSecurity>0</DocSecurity>
  <Lines>30</Lines>
  <Paragraphs>8</Paragraphs>
  <ScaleCrop>false</ScaleCrop>
  <Company>Microsoft</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2022-09-02T01:35:00Z</dcterms:created>
  <dcterms:modified xsi:type="dcterms:W3CDTF">2022-09-02T01:38:00Z</dcterms:modified>
</cp:coreProperties>
</file>